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6F37B" w14:textId="77777777" w:rsidR="006D297B" w:rsidRDefault="004131F6" w:rsidP="00E12135">
      <w:pPr>
        <w:pStyle w:val="NoSpacing"/>
        <w:jc w:val="center"/>
        <w:rPr>
          <w:rFonts w:ascii="Calibri" w:hAnsi="Calibri" w:cs="Calibri"/>
          <w:b/>
        </w:rPr>
      </w:pPr>
      <w:r>
        <w:rPr>
          <w:rFonts w:ascii="Calibri" w:hAnsi="Calibri" w:cs="Calibri"/>
          <w:b/>
        </w:rPr>
        <w:t xml:space="preserve">Content for </w:t>
      </w:r>
      <w:r w:rsidR="00E12135" w:rsidRPr="00F4332A">
        <w:rPr>
          <w:rFonts w:ascii="Calibri" w:hAnsi="Calibri" w:cs="Calibri"/>
          <w:b/>
        </w:rPr>
        <w:t xml:space="preserve">Letter of Medical Necessity for </w:t>
      </w:r>
    </w:p>
    <w:p w14:paraId="45F13277" w14:textId="270F26C9" w:rsidR="00E12135" w:rsidRPr="00F4332A" w:rsidRDefault="004131F6" w:rsidP="00E12135">
      <w:pPr>
        <w:pStyle w:val="NoSpacing"/>
        <w:jc w:val="center"/>
        <w:rPr>
          <w:rFonts w:ascii="Calibri" w:hAnsi="Calibri" w:cs="Calibri"/>
          <w:b/>
        </w:rPr>
      </w:pPr>
      <w:r>
        <w:rPr>
          <w:rFonts w:ascii="Calibri" w:hAnsi="Calibri" w:cs="Calibri"/>
          <w:b/>
        </w:rPr>
        <w:t xml:space="preserve">Mitochondrial </w:t>
      </w:r>
      <w:r w:rsidR="006D297B">
        <w:rPr>
          <w:rFonts w:ascii="Calibri" w:hAnsi="Calibri" w:cs="Calibri"/>
          <w:b/>
        </w:rPr>
        <w:t>Genome Sequencing</w:t>
      </w:r>
    </w:p>
    <w:p w14:paraId="5129DE9D" w14:textId="77777777" w:rsidR="00E12135" w:rsidRPr="00CB21AF" w:rsidRDefault="00E12135" w:rsidP="00E12135">
      <w:pPr>
        <w:pStyle w:val="NoSpacing"/>
        <w:rPr>
          <w:rFonts w:ascii="Calibri" w:hAnsi="Calibri" w:cs="Calibri"/>
          <w:color w:val="FF0000"/>
        </w:rPr>
      </w:pPr>
    </w:p>
    <w:p w14:paraId="4E4E0FA4" w14:textId="77777777" w:rsidR="00E12135" w:rsidRPr="00CB21AF" w:rsidRDefault="00E12135" w:rsidP="00E12135">
      <w:pPr>
        <w:pStyle w:val="NoSpacing"/>
        <w:rPr>
          <w:rFonts w:ascii="Calibri" w:hAnsi="Calibri" w:cs="Calibri"/>
          <w:color w:val="FF0000"/>
        </w:rPr>
        <w:sectPr w:rsidR="00E12135" w:rsidRPr="00CB21AF" w:rsidSect="00E12135">
          <w:footerReference w:type="even" r:id="rId10"/>
          <w:footerReference w:type="default" r:id="rId11"/>
          <w:pgSz w:w="12240" w:h="15840"/>
          <w:pgMar w:top="1440" w:right="1440" w:bottom="1440" w:left="1440" w:header="720" w:footer="720" w:gutter="0"/>
          <w:cols w:space="720"/>
          <w:docGrid w:linePitch="360"/>
        </w:sectPr>
      </w:pPr>
    </w:p>
    <w:p w14:paraId="79A0A715" w14:textId="77777777" w:rsidR="00E12135" w:rsidRPr="00CB21AF" w:rsidRDefault="00E12135" w:rsidP="00E12135">
      <w:pPr>
        <w:pStyle w:val="NoSpacing"/>
        <w:rPr>
          <w:rFonts w:ascii="Calibri" w:hAnsi="Calibri" w:cs="Calibri"/>
        </w:rPr>
      </w:pPr>
    </w:p>
    <w:p w14:paraId="2336BF4D" w14:textId="45298799" w:rsidR="00E12135" w:rsidRPr="006D297B" w:rsidRDefault="00E12135" w:rsidP="00E12135">
      <w:pPr>
        <w:pStyle w:val="NoSpacing"/>
        <w:rPr>
          <w:rFonts w:ascii="Calibri" w:hAnsi="Calibri" w:cs="Calibri"/>
          <w:b/>
        </w:rPr>
      </w:pPr>
      <w:r w:rsidRPr="006D297B">
        <w:rPr>
          <w:rFonts w:ascii="Calibri" w:hAnsi="Calibri" w:cs="Calibri"/>
          <w:b/>
        </w:rPr>
        <w:t>Patient Clinical and Family History</w:t>
      </w:r>
      <w:r w:rsidR="0030536E" w:rsidRPr="006D297B">
        <w:rPr>
          <w:rFonts w:ascii="Calibri" w:hAnsi="Calibri" w:cs="Calibri"/>
          <w:b/>
        </w:rPr>
        <w:t xml:space="preserve"> and Potential Impact of Test Results</w:t>
      </w:r>
    </w:p>
    <w:p w14:paraId="0655AB64" w14:textId="77777777" w:rsidR="00E12135" w:rsidRPr="006D297B" w:rsidRDefault="00E12135" w:rsidP="00E12135">
      <w:pPr>
        <w:pStyle w:val="NoSpacing"/>
        <w:rPr>
          <w:rFonts w:ascii="Calibri" w:hAnsi="Calibri" w:cs="Calibri"/>
        </w:rPr>
      </w:pPr>
      <w:r w:rsidRPr="006D297B">
        <w:rPr>
          <w:rFonts w:ascii="Calibri" w:hAnsi="Calibri" w:cs="Calibri"/>
        </w:rPr>
        <w:t xml:space="preserve">This testing is requested due to this patient’s personal medical history, which includes the following clinical findings:  </w:t>
      </w:r>
    </w:p>
    <w:p w14:paraId="1F9CDA92" w14:textId="77777777" w:rsidR="00E12135" w:rsidRPr="009959AA" w:rsidRDefault="00E12135" w:rsidP="00E12135">
      <w:pPr>
        <w:pStyle w:val="NoSpacing"/>
        <w:numPr>
          <w:ilvl w:val="0"/>
          <w:numId w:val="1"/>
        </w:numPr>
        <w:rPr>
          <w:rFonts w:ascii="Calibri" w:hAnsi="Calibri" w:cs="Calibri"/>
          <w:color w:val="293BA8"/>
        </w:rPr>
      </w:pPr>
      <w:r w:rsidRPr="009959AA">
        <w:rPr>
          <w:rFonts w:ascii="Calibri" w:hAnsi="Calibri" w:cs="Calibri"/>
          <w:color w:val="293BA8"/>
        </w:rPr>
        <w:t xml:space="preserve">Add Relevant Phenotype </w:t>
      </w:r>
    </w:p>
    <w:p w14:paraId="5F79D234" w14:textId="77777777" w:rsidR="00E12135" w:rsidRPr="009959AA" w:rsidRDefault="00E12135" w:rsidP="00E12135">
      <w:pPr>
        <w:pStyle w:val="NoSpacing"/>
        <w:numPr>
          <w:ilvl w:val="0"/>
          <w:numId w:val="1"/>
        </w:numPr>
        <w:rPr>
          <w:rFonts w:ascii="Calibri" w:hAnsi="Calibri" w:cs="Calibri"/>
          <w:color w:val="293BA8"/>
        </w:rPr>
      </w:pPr>
      <w:r w:rsidRPr="009959AA">
        <w:rPr>
          <w:rFonts w:ascii="Calibri" w:hAnsi="Calibri" w:cs="Calibri"/>
          <w:color w:val="293BA8"/>
        </w:rPr>
        <w:t xml:space="preserve">Add Relevant Phenotype </w:t>
      </w:r>
    </w:p>
    <w:p w14:paraId="5F81F373" w14:textId="77777777" w:rsidR="00E12135" w:rsidRPr="009959AA" w:rsidRDefault="00E12135" w:rsidP="00E12135">
      <w:pPr>
        <w:pStyle w:val="NoSpacing"/>
        <w:numPr>
          <w:ilvl w:val="0"/>
          <w:numId w:val="1"/>
        </w:numPr>
        <w:rPr>
          <w:rFonts w:ascii="Calibri" w:hAnsi="Calibri" w:cs="Calibri"/>
          <w:color w:val="293BA8"/>
        </w:rPr>
      </w:pPr>
      <w:r w:rsidRPr="009959AA">
        <w:rPr>
          <w:rFonts w:ascii="Calibri" w:hAnsi="Calibri" w:cs="Calibri"/>
          <w:color w:val="293BA8"/>
        </w:rPr>
        <w:t>Add Relevant Phenotype</w:t>
      </w:r>
    </w:p>
    <w:p w14:paraId="17656576" w14:textId="77777777" w:rsidR="00E12135" w:rsidRPr="006D297B" w:rsidRDefault="00E12135" w:rsidP="00E12135">
      <w:pPr>
        <w:pStyle w:val="NoSpacing"/>
        <w:rPr>
          <w:rFonts w:ascii="Calibri" w:hAnsi="Calibri" w:cs="Calibri"/>
          <w:color w:val="FF0000"/>
        </w:rPr>
      </w:pPr>
    </w:p>
    <w:p w14:paraId="27F21BD0" w14:textId="77777777" w:rsidR="00E12135" w:rsidRPr="009959AA" w:rsidRDefault="00E12135" w:rsidP="00E12135">
      <w:pPr>
        <w:pStyle w:val="NoSpacing"/>
        <w:rPr>
          <w:rFonts w:ascii="Calibri" w:hAnsi="Calibri" w:cs="Calibri"/>
          <w:color w:val="293BA8"/>
        </w:rPr>
      </w:pPr>
      <w:r w:rsidRPr="006D297B">
        <w:rPr>
          <w:rFonts w:ascii="Calibri" w:hAnsi="Calibri" w:cs="Calibri"/>
        </w:rPr>
        <w:t xml:space="preserve">The patient’s family history is </w:t>
      </w:r>
      <w:r w:rsidRPr="009959AA">
        <w:rPr>
          <w:rFonts w:ascii="Calibri" w:hAnsi="Calibri" w:cs="Calibri"/>
          <w:color w:val="293BA8"/>
        </w:rPr>
        <w:t xml:space="preserve">negative for related conditions / unknown / remarkable for the following related clinical features: </w:t>
      </w:r>
    </w:p>
    <w:p w14:paraId="0E21BA08" w14:textId="77777777" w:rsidR="00E12135" w:rsidRPr="009959AA" w:rsidRDefault="00E12135" w:rsidP="00E12135">
      <w:pPr>
        <w:pStyle w:val="NoSpacing"/>
        <w:rPr>
          <w:rFonts w:ascii="Calibri" w:hAnsi="Calibri" w:cs="Calibri"/>
          <w:color w:val="293BA8"/>
        </w:rPr>
      </w:pPr>
    </w:p>
    <w:p w14:paraId="3EEA729D" w14:textId="77777777" w:rsidR="00E12135" w:rsidRPr="009959AA" w:rsidRDefault="00E12135" w:rsidP="00E12135">
      <w:pPr>
        <w:pStyle w:val="NoSpacing"/>
        <w:rPr>
          <w:rFonts w:ascii="Calibri" w:hAnsi="Calibri" w:cs="Calibri"/>
          <w:color w:val="293BA8"/>
        </w:rPr>
      </w:pPr>
      <w:r w:rsidRPr="009959AA">
        <w:rPr>
          <w:rFonts w:ascii="Calibri" w:hAnsi="Calibri" w:cs="Calibri"/>
          <w:color w:val="293BA8"/>
        </w:rPr>
        <w:t>The patient has previously had the following uninformative genetic and other testing:</w:t>
      </w:r>
    </w:p>
    <w:p w14:paraId="433BC33B" w14:textId="77777777" w:rsidR="00E12135" w:rsidRPr="009959AA" w:rsidRDefault="00E12135" w:rsidP="00E12135">
      <w:pPr>
        <w:pStyle w:val="NoSpacing"/>
        <w:numPr>
          <w:ilvl w:val="0"/>
          <w:numId w:val="2"/>
        </w:numPr>
        <w:rPr>
          <w:rFonts w:ascii="Calibri" w:hAnsi="Calibri" w:cs="Calibri"/>
          <w:color w:val="293BA8"/>
        </w:rPr>
      </w:pPr>
      <w:r w:rsidRPr="009959AA">
        <w:rPr>
          <w:rFonts w:ascii="Calibri" w:hAnsi="Calibri" w:cs="Calibri"/>
          <w:color w:val="293BA8"/>
        </w:rPr>
        <w:t>Add test</w:t>
      </w:r>
    </w:p>
    <w:p w14:paraId="66BD923C" w14:textId="77777777" w:rsidR="00E12135" w:rsidRPr="009959AA" w:rsidRDefault="00E12135" w:rsidP="00E12135">
      <w:pPr>
        <w:pStyle w:val="NoSpacing"/>
        <w:numPr>
          <w:ilvl w:val="0"/>
          <w:numId w:val="2"/>
        </w:numPr>
        <w:rPr>
          <w:rFonts w:ascii="Calibri" w:hAnsi="Calibri" w:cs="Calibri"/>
          <w:color w:val="293BA8"/>
        </w:rPr>
      </w:pPr>
      <w:r w:rsidRPr="009959AA">
        <w:rPr>
          <w:rFonts w:ascii="Calibri" w:hAnsi="Calibri" w:cs="Calibri"/>
          <w:color w:val="293BA8"/>
        </w:rPr>
        <w:t>Add test</w:t>
      </w:r>
    </w:p>
    <w:p w14:paraId="11A005E8" w14:textId="77777777" w:rsidR="00E12135" w:rsidRPr="009959AA" w:rsidRDefault="00E12135" w:rsidP="00E12135">
      <w:pPr>
        <w:pStyle w:val="NoSpacing"/>
        <w:numPr>
          <w:ilvl w:val="0"/>
          <w:numId w:val="2"/>
        </w:numPr>
        <w:rPr>
          <w:rFonts w:ascii="Calibri" w:hAnsi="Calibri" w:cs="Calibri"/>
          <w:color w:val="293BA8"/>
        </w:rPr>
      </w:pPr>
      <w:r w:rsidRPr="009959AA">
        <w:rPr>
          <w:rFonts w:ascii="Calibri" w:hAnsi="Calibri" w:cs="Calibri"/>
          <w:color w:val="293BA8"/>
        </w:rPr>
        <w:t>Add test</w:t>
      </w:r>
    </w:p>
    <w:p w14:paraId="430F3D4B" w14:textId="77777777" w:rsidR="00E12135" w:rsidRPr="006D297B" w:rsidRDefault="00E12135" w:rsidP="00E12135">
      <w:pPr>
        <w:pStyle w:val="NoSpacing"/>
        <w:rPr>
          <w:rFonts w:ascii="Calibri" w:hAnsi="Calibri" w:cs="Calibri"/>
          <w:color w:val="FF0000"/>
        </w:rPr>
      </w:pPr>
    </w:p>
    <w:p w14:paraId="116C8332" w14:textId="7CC6754E" w:rsidR="0030536E" w:rsidRPr="006D297B" w:rsidRDefault="0030536E" w:rsidP="00E12135">
      <w:pPr>
        <w:pStyle w:val="NoSpacing"/>
        <w:rPr>
          <w:rFonts w:ascii="Calibri" w:hAnsi="Calibri" w:cs="Calibri"/>
          <w:color w:val="FF0000"/>
        </w:rPr>
      </w:pPr>
      <w:r w:rsidRPr="006D297B">
        <w:rPr>
          <w:rFonts w:ascii="Calibri" w:hAnsi="Calibri" w:cs="Calibri"/>
        </w:rPr>
        <w:t xml:space="preserve">Due to this history, the differential diagnosis includes </w:t>
      </w:r>
      <w:r w:rsidRPr="009959AA">
        <w:rPr>
          <w:rFonts w:ascii="Calibri" w:hAnsi="Calibri" w:cs="Calibri"/>
          <w:color w:val="293BA8"/>
        </w:rPr>
        <w:t>(list at least 3 conditions you are considering for this patient).</w:t>
      </w:r>
    </w:p>
    <w:p w14:paraId="7743BD6A" w14:textId="77777777" w:rsidR="0030536E" w:rsidRPr="006D297B" w:rsidRDefault="0030536E" w:rsidP="00E12135">
      <w:pPr>
        <w:pStyle w:val="NoSpacing"/>
        <w:rPr>
          <w:rFonts w:ascii="Calibri" w:hAnsi="Calibri" w:cs="Calibri"/>
        </w:rPr>
      </w:pPr>
    </w:p>
    <w:p w14:paraId="3AAF3FF0" w14:textId="7763382E" w:rsidR="00E12135" w:rsidRPr="009959AA" w:rsidRDefault="00E12135" w:rsidP="00E12135">
      <w:pPr>
        <w:pStyle w:val="NoSpacing"/>
        <w:rPr>
          <w:rFonts w:ascii="Calibri" w:hAnsi="Calibri" w:cs="Calibri"/>
          <w:color w:val="293BA8"/>
        </w:rPr>
      </w:pPr>
      <w:r w:rsidRPr="006D297B">
        <w:rPr>
          <w:rFonts w:ascii="Calibri" w:hAnsi="Calibri" w:cs="Calibri"/>
        </w:rPr>
        <w:t xml:space="preserve">Specifically for my patient, results of </w:t>
      </w:r>
      <w:r w:rsidR="006D297B" w:rsidRPr="006D297B">
        <w:rPr>
          <w:rFonts w:ascii="Calibri" w:hAnsi="Calibri" w:cs="Calibri"/>
        </w:rPr>
        <w:t>mitochondrial genome sequencing</w:t>
      </w:r>
      <w:r w:rsidRPr="006D297B">
        <w:rPr>
          <w:rFonts w:ascii="Calibri" w:hAnsi="Calibri" w:cs="Calibri"/>
        </w:rPr>
        <w:t xml:space="preserve"> will guide prognosis and improve clinical decision-making which can improve clinical outcomes by: </w:t>
      </w:r>
      <w:r w:rsidRPr="009959AA">
        <w:rPr>
          <w:rFonts w:ascii="Calibri" w:hAnsi="Calibri" w:cs="Calibri"/>
          <w:color w:val="293BA8"/>
        </w:rPr>
        <w:t>(keep all bullets you think are relevant and provide examples/details for each included)</w:t>
      </w:r>
    </w:p>
    <w:p w14:paraId="70349DEC" w14:textId="77777777" w:rsidR="00E12135" w:rsidRPr="006D297B" w:rsidRDefault="00E12135" w:rsidP="00E12135">
      <w:pPr>
        <w:pStyle w:val="ListParagraph"/>
        <w:numPr>
          <w:ilvl w:val="0"/>
          <w:numId w:val="3"/>
        </w:numPr>
        <w:rPr>
          <w:rFonts w:ascii="Calibri" w:hAnsi="Calibri" w:cs="Calibri"/>
          <w:sz w:val="22"/>
          <w:szCs w:val="22"/>
        </w:rPr>
      </w:pPr>
      <w:r w:rsidRPr="006D297B">
        <w:rPr>
          <w:rFonts w:ascii="Calibri" w:hAnsi="Calibri" w:cs="Calibri"/>
          <w:sz w:val="22"/>
          <w:szCs w:val="22"/>
        </w:rPr>
        <w:t xml:space="preserve">change in medication: </w:t>
      </w:r>
      <w:r w:rsidRPr="009959AA">
        <w:rPr>
          <w:rFonts w:ascii="Calibri" w:hAnsi="Calibri" w:cs="Calibri"/>
          <w:color w:val="293BA8"/>
          <w:sz w:val="22"/>
          <w:szCs w:val="22"/>
        </w:rPr>
        <w:t>(provide examples of potential new treatments or halting of existing ones that may be recommended based results)</w:t>
      </w:r>
    </w:p>
    <w:p w14:paraId="2D9B485E" w14:textId="77777777" w:rsidR="00E12135" w:rsidRPr="006D297B" w:rsidRDefault="00E12135" w:rsidP="00E12135">
      <w:pPr>
        <w:pStyle w:val="ListParagraph"/>
        <w:numPr>
          <w:ilvl w:val="0"/>
          <w:numId w:val="3"/>
        </w:numPr>
        <w:rPr>
          <w:rFonts w:ascii="Calibri" w:hAnsi="Calibri" w:cs="Calibri"/>
          <w:sz w:val="22"/>
          <w:szCs w:val="22"/>
        </w:rPr>
      </w:pPr>
      <w:r w:rsidRPr="006D297B">
        <w:rPr>
          <w:rFonts w:ascii="Calibri" w:hAnsi="Calibri" w:cs="Calibri"/>
          <w:sz w:val="22"/>
          <w:szCs w:val="22"/>
        </w:rPr>
        <w:t xml:space="preserve">alteration to diet: </w:t>
      </w:r>
      <w:r w:rsidRPr="009959AA">
        <w:rPr>
          <w:rFonts w:ascii="Calibri" w:hAnsi="Calibri" w:cs="Calibri"/>
          <w:color w:val="293BA8"/>
          <w:sz w:val="22"/>
          <w:szCs w:val="22"/>
        </w:rPr>
        <w:t>(provide examples of potential alteration to diet that may be recommended based results)</w:t>
      </w:r>
    </w:p>
    <w:p w14:paraId="39340BB3" w14:textId="77777777" w:rsidR="00E12135" w:rsidRPr="006D297B" w:rsidRDefault="00E12135" w:rsidP="00E12135">
      <w:pPr>
        <w:pStyle w:val="ListParagraph"/>
        <w:numPr>
          <w:ilvl w:val="0"/>
          <w:numId w:val="3"/>
        </w:numPr>
        <w:rPr>
          <w:rFonts w:ascii="Calibri" w:hAnsi="Calibri" w:cs="Calibri"/>
          <w:sz w:val="22"/>
          <w:szCs w:val="22"/>
        </w:rPr>
      </w:pPr>
      <w:r w:rsidRPr="006D297B">
        <w:rPr>
          <w:rFonts w:ascii="Calibri" w:hAnsi="Calibri" w:cs="Calibri"/>
          <w:sz w:val="22"/>
          <w:szCs w:val="22"/>
        </w:rPr>
        <w:t xml:space="preserve">change in planned procedures or surveillance: </w:t>
      </w:r>
      <w:r w:rsidRPr="009959AA">
        <w:rPr>
          <w:rFonts w:ascii="Calibri" w:hAnsi="Calibri" w:cs="Calibri"/>
          <w:color w:val="293BA8"/>
          <w:sz w:val="22"/>
          <w:szCs w:val="22"/>
        </w:rPr>
        <w:t>(provide examples of potential alteration surgery, imaging, and/or diagnostic studies that may be recommended based on results especially state if includes discontinuation of unnecessary procedures)</w:t>
      </w:r>
    </w:p>
    <w:p w14:paraId="1CB1ABCB" w14:textId="77777777" w:rsidR="00E12135" w:rsidRPr="006D297B" w:rsidRDefault="00E12135" w:rsidP="00E12135">
      <w:pPr>
        <w:pStyle w:val="ListParagraph"/>
        <w:numPr>
          <w:ilvl w:val="0"/>
          <w:numId w:val="3"/>
        </w:numPr>
        <w:rPr>
          <w:rFonts w:ascii="Calibri" w:hAnsi="Calibri" w:cs="Calibri"/>
          <w:sz w:val="22"/>
          <w:szCs w:val="22"/>
        </w:rPr>
      </w:pPr>
      <w:r w:rsidRPr="006D297B">
        <w:rPr>
          <w:rFonts w:ascii="Calibri" w:hAnsi="Calibri" w:cs="Calibri"/>
          <w:sz w:val="22"/>
          <w:szCs w:val="22"/>
        </w:rPr>
        <w:t xml:space="preserve">Impact on future reproductive planning by informing genetic counseling related to recurrence risk and prenatal diagnosis options: </w:t>
      </w:r>
      <w:r w:rsidRPr="009959AA">
        <w:rPr>
          <w:rFonts w:ascii="Calibri" w:hAnsi="Calibri" w:cs="Calibri"/>
          <w:color w:val="293BA8"/>
          <w:sz w:val="22"/>
          <w:szCs w:val="22"/>
        </w:rPr>
        <w:t>(include and provide additional details if patient’s first degree relative is pregnant or considering pregnancy)</w:t>
      </w:r>
    </w:p>
    <w:p w14:paraId="67185573" w14:textId="77777777" w:rsidR="00E12135" w:rsidRPr="006D297B" w:rsidRDefault="00E12135" w:rsidP="00E12135">
      <w:pPr>
        <w:pStyle w:val="NoSpacing"/>
        <w:rPr>
          <w:rFonts w:ascii="Calibri" w:hAnsi="Calibri" w:cs="Calibri"/>
        </w:rPr>
      </w:pPr>
    </w:p>
    <w:p w14:paraId="048CF32F" w14:textId="77777777" w:rsidR="006D297B" w:rsidRPr="006D297B" w:rsidRDefault="006D297B" w:rsidP="006D297B">
      <w:pPr>
        <w:spacing w:after="240"/>
        <w:rPr>
          <w:rFonts w:ascii="Calibri" w:hAnsi="Calibri" w:cs="Calibri"/>
          <w:b/>
          <w:bCs/>
          <w:sz w:val="22"/>
          <w:szCs w:val="22"/>
        </w:rPr>
      </w:pPr>
      <w:r w:rsidRPr="006D297B">
        <w:rPr>
          <w:rFonts w:ascii="Calibri" w:hAnsi="Calibri" w:cs="Calibri"/>
          <w:b/>
          <w:bCs/>
          <w:sz w:val="22"/>
          <w:szCs w:val="22"/>
        </w:rPr>
        <w:t>Background on mitochondrial genome sequencing</w:t>
      </w:r>
    </w:p>
    <w:p w14:paraId="2E5A01CE" w14:textId="77777777" w:rsidR="006D297B" w:rsidRPr="006D297B" w:rsidRDefault="006D297B" w:rsidP="006D297B">
      <w:pPr>
        <w:spacing w:after="240"/>
        <w:rPr>
          <w:rFonts w:ascii="Calibri" w:hAnsi="Calibri" w:cs="Calibri"/>
          <w:sz w:val="22"/>
          <w:szCs w:val="22"/>
        </w:rPr>
      </w:pPr>
      <w:r w:rsidRPr="006D297B">
        <w:rPr>
          <w:rFonts w:ascii="Calibri" w:hAnsi="Calibri" w:cs="Calibri"/>
          <w:sz w:val="22"/>
          <w:szCs w:val="22"/>
        </w:rPr>
        <w:t>Mitochondrial disorders are clinically variable impacting different organ systems and having significant impact on morbidity and mortality.</w:t>
      </w:r>
      <w:r w:rsidRPr="006D297B">
        <w:rPr>
          <w:rFonts w:ascii="Calibri" w:hAnsi="Calibri" w:cs="Calibri"/>
          <w:sz w:val="22"/>
          <w:szCs w:val="22"/>
          <w:vertAlign w:val="superscript"/>
        </w:rPr>
        <w:t>1</w:t>
      </w:r>
      <w:r w:rsidRPr="006D297B">
        <w:rPr>
          <w:rFonts w:ascii="Calibri" w:hAnsi="Calibri" w:cs="Calibri"/>
          <w:sz w:val="22"/>
          <w:szCs w:val="22"/>
        </w:rPr>
        <w:t xml:space="preserve"> These disorders are difficult to diagnose due to this clinical variability, &gt;350 different causal genes, and limited correlations between genes and clinical features.</w:t>
      </w:r>
      <w:r w:rsidRPr="006D297B">
        <w:rPr>
          <w:rFonts w:ascii="Calibri" w:hAnsi="Calibri" w:cs="Calibri"/>
          <w:sz w:val="22"/>
          <w:szCs w:val="22"/>
          <w:vertAlign w:val="superscript"/>
        </w:rPr>
        <w:t>1</w:t>
      </w:r>
      <w:r w:rsidRPr="006D297B">
        <w:rPr>
          <w:rFonts w:ascii="Calibri" w:hAnsi="Calibri" w:cs="Calibri"/>
          <w:sz w:val="22"/>
          <w:szCs w:val="22"/>
        </w:rPr>
        <w:t xml:space="preserve">  The availability of next-generation sequencing technologies like genome sequencing have shifted diagnostic practice from ‘biopsy-first’ approach requiring a muscle biopsy to direct genetic analysis using more easily accessible samples such as blood.</w:t>
      </w:r>
      <w:r w:rsidRPr="006D297B">
        <w:rPr>
          <w:rFonts w:ascii="Calibri" w:hAnsi="Calibri" w:cs="Calibri"/>
          <w:noProof/>
          <w:sz w:val="22"/>
          <w:szCs w:val="22"/>
          <w:vertAlign w:val="superscript"/>
        </w:rPr>
        <w:t>1,2</w:t>
      </w:r>
    </w:p>
    <w:p w14:paraId="4E040A5C" w14:textId="77777777" w:rsidR="006D297B" w:rsidRPr="006D297B" w:rsidRDefault="006D297B" w:rsidP="006D297B">
      <w:pPr>
        <w:spacing w:after="240"/>
        <w:rPr>
          <w:rFonts w:ascii="Calibri" w:hAnsi="Calibri" w:cs="Calibri"/>
          <w:b/>
          <w:bCs/>
          <w:sz w:val="22"/>
          <w:szCs w:val="22"/>
        </w:rPr>
      </w:pPr>
      <w:r w:rsidRPr="006D297B">
        <w:rPr>
          <w:rFonts w:ascii="Calibri" w:hAnsi="Calibri" w:cs="Calibri"/>
          <w:b/>
          <w:bCs/>
          <w:sz w:val="22"/>
          <w:szCs w:val="22"/>
        </w:rPr>
        <w:t>Societal guidelines support mitochondrial genome sequencing</w:t>
      </w:r>
    </w:p>
    <w:p w14:paraId="0C0E530D" w14:textId="77777777" w:rsidR="006D297B" w:rsidRPr="006D297B" w:rsidRDefault="006D297B" w:rsidP="006D297B">
      <w:pPr>
        <w:spacing w:after="240"/>
        <w:rPr>
          <w:rFonts w:ascii="Calibri" w:hAnsi="Calibri" w:cs="Calibri"/>
          <w:b/>
          <w:bCs/>
          <w:sz w:val="22"/>
          <w:szCs w:val="22"/>
        </w:rPr>
      </w:pPr>
      <w:r w:rsidRPr="006D297B">
        <w:rPr>
          <w:rFonts w:ascii="Calibri" w:hAnsi="Calibri" w:cs="Calibri"/>
          <w:sz w:val="22"/>
          <w:szCs w:val="22"/>
        </w:rPr>
        <w:lastRenderedPageBreak/>
        <w:t>In 2015, a statement from the Mitochondrial Medicine Society recommended analysis of the mitochondrial genome as a first-line test in cases of suspected mitochondrial disease.</w:t>
      </w:r>
      <w:r w:rsidRPr="006D297B">
        <w:rPr>
          <w:rFonts w:ascii="Calibri" w:hAnsi="Calibri" w:cs="Calibri"/>
          <w:sz w:val="22"/>
          <w:szCs w:val="22"/>
          <w:vertAlign w:val="superscript"/>
        </w:rPr>
        <w:t>2</w:t>
      </w:r>
      <w:r w:rsidRPr="006D297B">
        <w:rPr>
          <w:rFonts w:ascii="Calibri" w:hAnsi="Calibri" w:cs="Calibri"/>
          <w:sz w:val="22"/>
          <w:szCs w:val="22"/>
        </w:rPr>
        <w:t xml:space="preserve"> The United Kingdom reiterated this recommendation in 2023 with a practice guideline and added “simultaneous testing of both </w:t>
      </w:r>
      <w:proofErr w:type="spellStart"/>
      <w:r w:rsidRPr="006D297B">
        <w:rPr>
          <w:rFonts w:ascii="Calibri" w:hAnsi="Calibri" w:cs="Calibri"/>
          <w:sz w:val="22"/>
          <w:szCs w:val="22"/>
        </w:rPr>
        <w:t>mtDNA</w:t>
      </w:r>
      <w:proofErr w:type="spellEnd"/>
      <w:r w:rsidRPr="006D297B">
        <w:rPr>
          <w:rFonts w:ascii="Calibri" w:hAnsi="Calibri" w:cs="Calibri"/>
          <w:sz w:val="22"/>
          <w:szCs w:val="22"/>
        </w:rPr>
        <w:t xml:space="preserve"> [mitochondrial DNA] and nuclear DNA is recommended if possible.”</w:t>
      </w:r>
      <w:r w:rsidRPr="006D297B">
        <w:rPr>
          <w:rFonts w:ascii="Calibri" w:hAnsi="Calibri" w:cs="Calibri"/>
          <w:sz w:val="22"/>
          <w:szCs w:val="22"/>
          <w:vertAlign w:val="superscript"/>
        </w:rPr>
        <w:t>1</w:t>
      </w:r>
    </w:p>
    <w:p w14:paraId="1C94D538" w14:textId="77777777" w:rsidR="006D297B" w:rsidRPr="006D297B" w:rsidRDefault="006D297B" w:rsidP="006D297B">
      <w:pPr>
        <w:spacing w:after="240"/>
        <w:rPr>
          <w:rFonts w:ascii="Calibri" w:hAnsi="Calibri" w:cs="Calibri"/>
          <w:b/>
          <w:bCs/>
          <w:sz w:val="22"/>
          <w:szCs w:val="22"/>
        </w:rPr>
      </w:pPr>
      <w:r w:rsidRPr="006D297B">
        <w:rPr>
          <w:rFonts w:ascii="Calibri" w:hAnsi="Calibri" w:cs="Calibri"/>
          <w:b/>
          <w:bCs/>
          <w:sz w:val="22"/>
          <w:szCs w:val="22"/>
        </w:rPr>
        <w:t>Identifying the underlying genetic cause impacts patient outcomes</w:t>
      </w:r>
    </w:p>
    <w:p w14:paraId="14C4815D" w14:textId="77777777" w:rsidR="006D297B" w:rsidRPr="006D297B" w:rsidRDefault="006D297B" w:rsidP="006D297B">
      <w:pPr>
        <w:spacing w:after="240"/>
        <w:rPr>
          <w:rFonts w:ascii="Calibri" w:hAnsi="Calibri" w:cs="Calibri"/>
          <w:sz w:val="22"/>
          <w:szCs w:val="22"/>
        </w:rPr>
      </w:pPr>
      <w:r w:rsidRPr="006D297B">
        <w:rPr>
          <w:rFonts w:ascii="Calibri" w:hAnsi="Calibri" w:cs="Calibri"/>
          <w:sz w:val="22"/>
          <w:szCs w:val="22"/>
        </w:rPr>
        <w:t>The comprehensive analysis of sequencing the entire mitochondrial genome has an increased sensitivity compared to targeted analysis.</w:t>
      </w:r>
      <w:r w:rsidRPr="006D297B">
        <w:rPr>
          <w:rFonts w:ascii="Calibri" w:hAnsi="Calibri" w:cs="Calibri"/>
          <w:sz w:val="22"/>
          <w:szCs w:val="22"/>
          <w:vertAlign w:val="superscript"/>
        </w:rPr>
        <w:t>1</w:t>
      </w:r>
      <w:r w:rsidRPr="006D297B">
        <w:rPr>
          <w:rFonts w:ascii="Calibri" w:hAnsi="Calibri" w:cs="Calibri"/>
          <w:sz w:val="22"/>
          <w:szCs w:val="22"/>
        </w:rPr>
        <w:t xml:space="preserve"> A recent study reported a 35% detection rate for simultaneous sequencing in patients with suspected mitochondrial disorders.</w:t>
      </w:r>
      <w:r w:rsidRPr="006D297B">
        <w:rPr>
          <w:rFonts w:ascii="Calibri" w:hAnsi="Calibri" w:cs="Calibri"/>
          <w:noProof/>
          <w:sz w:val="22"/>
          <w:szCs w:val="22"/>
          <w:vertAlign w:val="superscript"/>
        </w:rPr>
        <w:t>3</w:t>
      </w:r>
      <w:r w:rsidRPr="006D297B">
        <w:rPr>
          <w:rFonts w:ascii="Calibri" w:hAnsi="Calibri" w:cs="Calibri"/>
          <w:sz w:val="22"/>
          <w:szCs w:val="22"/>
        </w:rPr>
        <w:t xml:space="preserve"> For patients with a confirmed mitochondrial genetic cause, gene and variant specific treatment recommendations include tailored medication treatment, avoidance of specific medication, avoidance of certain environmental triggers, vitamin supplementation, and increased monitoring due to high risk of organ specific complications.</w:t>
      </w:r>
      <w:r w:rsidRPr="006D297B">
        <w:rPr>
          <w:rFonts w:ascii="Calibri" w:hAnsi="Calibri" w:cs="Calibri"/>
          <w:noProof/>
          <w:sz w:val="22"/>
          <w:szCs w:val="22"/>
          <w:vertAlign w:val="superscript"/>
        </w:rPr>
        <w:t>4,5</w:t>
      </w:r>
    </w:p>
    <w:p w14:paraId="29B01C0C" w14:textId="77777777" w:rsidR="00E12135" w:rsidRPr="006D297B" w:rsidRDefault="00E12135" w:rsidP="00E12135">
      <w:pPr>
        <w:pStyle w:val="NoSpacing"/>
        <w:rPr>
          <w:rFonts w:ascii="Calibri" w:hAnsi="Calibri" w:cs="Calibri"/>
          <w:color w:val="FF0000"/>
        </w:rPr>
      </w:pPr>
    </w:p>
    <w:p w14:paraId="4296BD80" w14:textId="4425E74A" w:rsidR="00583D3E" w:rsidRPr="006D297B" w:rsidRDefault="00E12135" w:rsidP="001358CE">
      <w:pPr>
        <w:pStyle w:val="NoSpacing"/>
        <w:rPr>
          <w:rFonts w:ascii="Calibri" w:hAnsi="Calibri" w:cs="Calibri"/>
          <w:b/>
          <w:bCs/>
        </w:rPr>
      </w:pPr>
      <w:r w:rsidRPr="006D297B">
        <w:rPr>
          <w:rFonts w:ascii="Calibri" w:hAnsi="Calibri" w:cs="Calibri"/>
          <w:b/>
          <w:bCs/>
        </w:rPr>
        <w:t>References</w:t>
      </w:r>
    </w:p>
    <w:p w14:paraId="6AF9DC53" w14:textId="77777777" w:rsidR="006D297B" w:rsidRPr="006D297B" w:rsidRDefault="006D297B" w:rsidP="006D297B">
      <w:pPr>
        <w:pStyle w:val="EndNoteBibliography"/>
        <w:ind w:left="720" w:hanging="720"/>
        <w:rPr>
          <w:rFonts w:ascii="Calibri" w:hAnsi="Calibri" w:cs="Calibri"/>
          <w:noProof/>
          <w:sz w:val="22"/>
          <w:szCs w:val="22"/>
        </w:rPr>
      </w:pPr>
      <w:r w:rsidRPr="006D297B">
        <w:rPr>
          <w:rFonts w:ascii="Calibri" w:hAnsi="Calibri" w:cs="Calibri"/>
          <w:noProof/>
          <w:sz w:val="22"/>
          <w:szCs w:val="22"/>
        </w:rPr>
        <w:t>1.</w:t>
      </w:r>
      <w:r w:rsidRPr="006D297B">
        <w:rPr>
          <w:rFonts w:ascii="Calibri" w:hAnsi="Calibri" w:cs="Calibri"/>
          <w:noProof/>
          <w:sz w:val="22"/>
          <w:szCs w:val="22"/>
        </w:rPr>
        <w:tab/>
        <w:t xml:space="preserve">Mavraki, E., et al., </w:t>
      </w:r>
      <w:r w:rsidRPr="006D297B">
        <w:rPr>
          <w:rFonts w:ascii="Calibri" w:hAnsi="Calibri" w:cs="Calibri"/>
          <w:i/>
          <w:noProof/>
          <w:sz w:val="22"/>
          <w:szCs w:val="22"/>
        </w:rPr>
        <w:t>Genetic testing for mitochondrial disease: the United Kingdom best practice guidelines.</w:t>
      </w:r>
      <w:r w:rsidRPr="006D297B">
        <w:rPr>
          <w:rFonts w:ascii="Calibri" w:hAnsi="Calibri" w:cs="Calibri"/>
          <w:noProof/>
          <w:sz w:val="22"/>
          <w:szCs w:val="22"/>
        </w:rPr>
        <w:t xml:space="preserve"> Eur J Hum Genet, 2023. </w:t>
      </w:r>
      <w:r w:rsidRPr="006D297B">
        <w:rPr>
          <w:rFonts w:ascii="Calibri" w:hAnsi="Calibri" w:cs="Calibri"/>
          <w:b/>
          <w:noProof/>
          <w:sz w:val="22"/>
          <w:szCs w:val="22"/>
        </w:rPr>
        <w:t>31</w:t>
      </w:r>
      <w:r w:rsidRPr="006D297B">
        <w:rPr>
          <w:rFonts w:ascii="Calibri" w:hAnsi="Calibri" w:cs="Calibri"/>
          <w:noProof/>
          <w:sz w:val="22"/>
          <w:szCs w:val="22"/>
        </w:rPr>
        <w:t>(2): p. 148-163.</w:t>
      </w:r>
    </w:p>
    <w:p w14:paraId="0E864881" w14:textId="77777777" w:rsidR="006D297B" w:rsidRPr="006D297B" w:rsidRDefault="006D297B" w:rsidP="006D297B">
      <w:pPr>
        <w:pStyle w:val="EndNoteBibliography"/>
        <w:ind w:left="720" w:hanging="720"/>
        <w:rPr>
          <w:rFonts w:ascii="Calibri" w:hAnsi="Calibri" w:cs="Calibri"/>
          <w:noProof/>
          <w:sz w:val="22"/>
          <w:szCs w:val="22"/>
        </w:rPr>
      </w:pPr>
      <w:r w:rsidRPr="006D297B">
        <w:rPr>
          <w:rFonts w:ascii="Calibri" w:hAnsi="Calibri" w:cs="Calibri"/>
          <w:noProof/>
          <w:sz w:val="22"/>
          <w:szCs w:val="22"/>
        </w:rPr>
        <w:t>2.</w:t>
      </w:r>
      <w:r w:rsidRPr="006D297B">
        <w:rPr>
          <w:rFonts w:ascii="Calibri" w:hAnsi="Calibri" w:cs="Calibri"/>
          <w:noProof/>
          <w:sz w:val="22"/>
          <w:szCs w:val="22"/>
        </w:rPr>
        <w:tab/>
        <w:t xml:space="preserve">Parikh, S., et al., </w:t>
      </w:r>
      <w:r w:rsidRPr="006D297B">
        <w:rPr>
          <w:rFonts w:ascii="Calibri" w:hAnsi="Calibri" w:cs="Calibri"/>
          <w:i/>
          <w:noProof/>
          <w:sz w:val="22"/>
          <w:szCs w:val="22"/>
        </w:rPr>
        <w:t>Diagnosis and management of mitochondrial disease: a consensus statement from the Mitochondrial Medicine Society.</w:t>
      </w:r>
      <w:r w:rsidRPr="006D297B">
        <w:rPr>
          <w:rFonts w:ascii="Calibri" w:hAnsi="Calibri" w:cs="Calibri"/>
          <w:noProof/>
          <w:sz w:val="22"/>
          <w:szCs w:val="22"/>
        </w:rPr>
        <w:t xml:space="preserve"> Genet Med, 2015. </w:t>
      </w:r>
      <w:r w:rsidRPr="006D297B">
        <w:rPr>
          <w:rFonts w:ascii="Calibri" w:hAnsi="Calibri" w:cs="Calibri"/>
          <w:b/>
          <w:noProof/>
          <w:sz w:val="22"/>
          <w:szCs w:val="22"/>
        </w:rPr>
        <w:t>17</w:t>
      </w:r>
      <w:r w:rsidRPr="006D297B">
        <w:rPr>
          <w:rFonts w:ascii="Calibri" w:hAnsi="Calibri" w:cs="Calibri"/>
          <w:noProof/>
          <w:sz w:val="22"/>
          <w:szCs w:val="22"/>
        </w:rPr>
        <w:t>(9): p. 689-701.</w:t>
      </w:r>
    </w:p>
    <w:p w14:paraId="50982327" w14:textId="77777777" w:rsidR="006D297B" w:rsidRPr="006D297B" w:rsidRDefault="006D297B" w:rsidP="006D297B">
      <w:pPr>
        <w:pStyle w:val="EndNoteBibliography"/>
        <w:ind w:left="720" w:hanging="720"/>
        <w:rPr>
          <w:rFonts w:ascii="Calibri" w:hAnsi="Calibri" w:cs="Calibri"/>
          <w:noProof/>
          <w:sz w:val="22"/>
          <w:szCs w:val="22"/>
        </w:rPr>
      </w:pPr>
      <w:r w:rsidRPr="006D297B">
        <w:rPr>
          <w:rFonts w:ascii="Calibri" w:hAnsi="Calibri" w:cs="Calibri"/>
          <w:noProof/>
          <w:sz w:val="22"/>
          <w:szCs w:val="22"/>
        </w:rPr>
        <w:t>3.</w:t>
      </w:r>
      <w:r w:rsidRPr="006D297B">
        <w:rPr>
          <w:rFonts w:ascii="Calibri" w:hAnsi="Calibri" w:cs="Calibri"/>
          <w:noProof/>
          <w:sz w:val="22"/>
          <w:szCs w:val="22"/>
        </w:rPr>
        <w:tab/>
        <w:t xml:space="preserve">Wu, T.H., et al., </w:t>
      </w:r>
      <w:r w:rsidRPr="006D297B">
        <w:rPr>
          <w:rFonts w:ascii="Calibri" w:hAnsi="Calibri" w:cs="Calibri"/>
          <w:i/>
          <w:noProof/>
          <w:sz w:val="22"/>
          <w:szCs w:val="22"/>
        </w:rPr>
        <w:t>Use of dual genomic sequencing to screen mitochondrial diseases in pediatrics: a retrospective analysis.</w:t>
      </w:r>
      <w:r w:rsidRPr="006D297B">
        <w:rPr>
          <w:rFonts w:ascii="Calibri" w:hAnsi="Calibri" w:cs="Calibri"/>
          <w:noProof/>
          <w:sz w:val="22"/>
          <w:szCs w:val="22"/>
        </w:rPr>
        <w:t xml:space="preserve"> Sci Rep, 2023. </w:t>
      </w:r>
      <w:r w:rsidRPr="006D297B">
        <w:rPr>
          <w:rFonts w:ascii="Calibri" w:hAnsi="Calibri" w:cs="Calibri"/>
          <w:b/>
          <w:noProof/>
          <w:sz w:val="22"/>
          <w:szCs w:val="22"/>
        </w:rPr>
        <w:t>13</w:t>
      </w:r>
      <w:r w:rsidRPr="006D297B">
        <w:rPr>
          <w:rFonts w:ascii="Calibri" w:hAnsi="Calibri" w:cs="Calibri"/>
          <w:noProof/>
          <w:sz w:val="22"/>
          <w:szCs w:val="22"/>
        </w:rPr>
        <w:t>(1): p. 4193.</w:t>
      </w:r>
    </w:p>
    <w:p w14:paraId="77896209" w14:textId="77777777" w:rsidR="006D297B" w:rsidRPr="006D297B" w:rsidRDefault="006D297B" w:rsidP="006D297B">
      <w:pPr>
        <w:pStyle w:val="EndNoteBibliography"/>
        <w:ind w:left="720" w:hanging="720"/>
        <w:rPr>
          <w:rFonts w:ascii="Calibri" w:hAnsi="Calibri" w:cs="Calibri"/>
          <w:noProof/>
          <w:sz w:val="22"/>
          <w:szCs w:val="22"/>
        </w:rPr>
      </w:pPr>
      <w:r w:rsidRPr="006D297B">
        <w:rPr>
          <w:rFonts w:ascii="Calibri" w:hAnsi="Calibri" w:cs="Calibri"/>
          <w:noProof/>
          <w:sz w:val="22"/>
          <w:szCs w:val="22"/>
        </w:rPr>
        <w:t>4.</w:t>
      </w:r>
      <w:r w:rsidRPr="006D297B">
        <w:rPr>
          <w:rFonts w:ascii="Calibri" w:hAnsi="Calibri" w:cs="Calibri"/>
          <w:noProof/>
          <w:sz w:val="22"/>
          <w:szCs w:val="22"/>
        </w:rPr>
        <w:tab/>
        <w:t xml:space="preserve">Parikh, S., et al., </w:t>
      </w:r>
      <w:r w:rsidRPr="006D297B">
        <w:rPr>
          <w:rFonts w:ascii="Calibri" w:hAnsi="Calibri" w:cs="Calibri"/>
          <w:i/>
          <w:noProof/>
          <w:sz w:val="22"/>
          <w:szCs w:val="22"/>
        </w:rPr>
        <w:t>Patient care standards for primary mitochondrial disease: a consensus statement from the Mitochondrial Medicine Society.</w:t>
      </w:r>
      <w:r w:rsidRPr="006D297B">
        <w:rPr>
          <w:rFonts w:ascii="Calibri" w:hAnsi="Calibri" w:cs="Calibri"/>
          <w:noProof/>
          <w:sz w:val="22"/>
          <w:szCs w:val="22"/>
        </w:rPr>
        <w:t xml:space="preserve"> Genet Med, 2017. </w:t>
      </w:r>
      <w:r w:rsidRPr="006D297B">
        <w:rPr>
          <w:rFonts w:ascii="Calibri" w:hAnsi="Calibri" w:cs="Calibri"/>
          <w:b/>
          <w:noProof/>
          <w:sz w:val="22"/>
          <w:szCs w:val="22"/>
        </w:rPr>
        <w:t>19</w:t>
      </w:r>
      <w:r w:rsidRPr="006D297B">
        <w:rPr>
          <w:rFonts w:ascii="Calibri" w:hAnsi="Calibri" w:cs="Calibri"/>
          <w:noProof/>
          <w:sz w:val="22"/>
          <w:szCs w:val="22"/>
        </w:rPr>
        <w:t>(12).</w:t>
      </w:r>
    </w:p>
    <w:p w14:paraId="6C82EF6C" w14:textId="77777777" w:rsidR="006D297B" w:rsidRPr="006D297B" w:rsidRDefault="006D297B" w:rsidP="006D297B">
      <w:pPr>
        <w:pStyle w:val="EndNoteBibliography"/>
        <w:ind w:left="720" w:hanging="720"/>
        <w:rPr>
          <w:rFonts w:ascii="Calibri" w:hAnsi="Calibri" w:cs="Calibri"/>
          <w:noProof/>
          <w:sz w:val="22"/>
          <w:szCs w:val="22"/>
        </w:rPr>
      </w:pPr>
      <w:r w:rsidRPr="006D297B">
        <w:rPr>
          <w:rFonts w:ascii="Calibri" w:hAnsi="Calibri" w:cs="Calibri"/>
          <w:noProof/>
          <w:sz w:val="22"/>
          <w:szCs w:val="22"/>
        </w:rPr>
        <w:t>5.</w:t>
      </w:r>
      <w:r w:rsidRPr="006D297B">
        <w:rPr>
          <w:rFonts w:ascii="Calibri" w:hAnsi="Calibri" w:cs="Calibri"/>
          <w:noProof/>
          <w:sz w:val="22"/>
          <w:szCs w:val="22"/>
        </w:rPr>
        <w:tab/>
        <w:t xml:space="preserve">Tinker, R.J., et al., </w:t>
      </w:r>
      <w:r w:rsidRPr="006D297B">
        <w:rPr>
          <w:rFonts w:ascii="Calibri" w:hAnsi="Calibri" w:cs="Calibri"/>
          <w:i/>
          <w:noProof/>
          <w:sz w:val="22"/>
          <w:szCs w:val="22"/>
        </w:rPr>
        <w:t>Current and Emerging Clinical Treatment in Mitochondrial Disease.</w:t>
      </w:r>
      <w:r w:rsidRPr="006D297B">
        <w:rPr>
          <w:rFonts w:ascii="Calibri" w:hAnsi="Calibri" w:cs="Calibri"/>
          <w:noProof/>
          <w:sz w:val="22"/>
          <w:szCs w:val="22"/>
        </w:rPr>
        <w:t xml:space="preserve"> Mol Diagn Ther, 2021. </w:t>
      </w:r>
      <w:r w:rsidRPr="006D297B">
        <w:rPr>
          <w:rFonts w:ascii="Calibri" w:hAnsi="Calibri" w:cs="Calibri"/>
          <w:b/>
          <w:noProof/>
          <w:sz w:val="22"/>
          <w:szCs w:val="22"/>
        </w:rPr>
        <w:t>25</w:t>
      </w:r>
      <w:r w:rsidRPr="006D297B">
        <w:rPr>
          <w:rFonts w:ascii="Calibri" w:hAnsi="Calibri" w:cs="Calibri"/>
          <w:noProof/>
          <w:sz w:val="22"/>
          <w:szCs w:val="22"/>
        </w:rPr>
        <w:t>(2): p. 181-206.</w:t>
      </w:r>
    </w:p>
    <w:p w14:paraId="4DB032AE" w14:textId="77777777" w:rsidR="00583D3E" w:rsidRPr="006D297B" w:rsidRDefault="00583D3E">
      <w:pPr>
        <w:rPr>
          <w:rFonts w:ascii="Calibri" w:hAnsi="Calibri" w:cs="Calibri"/>
          <w:sz w:val="22"/>
          <w:szCs w:val="22"/>
        </w:rPr>
      </w:pPr>
    </w:p>
    <w:sectPr w:rsidR="00583D3E" w:rsidRPr="006D297B" w:rsidSect="00E1213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3605" w14:textId="77777777" w:rsidR="003C2DCC" w:rsidRDefault="003C2DCC" w:rsidP="00A31AA1">
      <w:r>
        <w:separator/>
      </w:r>
    </w:p>
  </w:endnote>
  <w:endnote w:type="continuationSeparator" w:id="0">
    <w:p w14:paraId="2BB38F1A" w14:textId="77777777" w:rsidR="003C2DCC" w:rsidRDefault="003C2DCC" w:rsidP="00A31AA1">
      <w:r>
        <w:continuationSeparator/>
      </w:r>
    </w:p>
  </w:endnote>
  <w:endnote w:type="continuationNotice" w:id="1">
    <w:p w14:paraId="7C7A5EAE" w14:textId="77777777" w:rsidR="003C2DCC" w:rsidRDefault="003C2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85966513"/>
      <w:docPartObj>
        <w:docPartGallery w:val="Page Numbers (Bottom of Page)"/>
        <w:docPartUnique/>
      </w:docPartObj>
    </w:sdtPr>
    <w:sdtContent>
      <w:p w14:paraId="2E762C26" w14:textId="3E8399B8" w:rsidR="00A31AA1" w:rsidRDefault="00A31AA1" w:rsidP="002B4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0C0704" w14:textId="77777777" w:rsidR="00A31AA1" w:rsidRDefault="00A31AA1" w:rsidP="00A31A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3427920"/>
      <w:docPartObj>
        <w:docPartGallery w:val="Page Numbers (Bottom of Page)"/>
        <w:docPartUnique/>
      </w:docPartObj>
    </w:sdtPr>
    <w:sdtContent>
      <w:p w14:paraId="282553A7" w14:textId="3FF92C3B" w:rsidR="00A31AA1" w:rsidRDefault="00A31AA1" w:rsidP="002B4F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AEE6F00" w14:textId="77777777" w:rsidR="00A31AA1" w:rsidRDefault="00A31AA1" w:rsidP="00A31A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C5AD4" w14:textId="77777777" w:rsidR="003C2DCC" w:rsidRDefault="003C2DCC" w:rsidP="00A31AA1">
      <w:r>
        <w:separator/>
      </w:r>
    </w:p>
  </w:footnote>
  <w:footnote w:type="continuationSeparator" w:id="0">
    <w:p w14:paraId="7AE98166" w14:textId="77777777" w:rsidR="003C2DCC" w:rsidRDefault="003C2DCC" w:rsidP="00A31AA1">
      <w:r>
        <w:continuationSeparator/>
      </w:r>
    </w:p>
  </w:footnote>
  <w:footnote w:type="continuationNotice" w:id="1">
    <w:p w14:paraId="47F80F7D" w14:textId="77777777" w:rsidR="003C2DCC" w:rsidRDefault="003C2D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24CC4"/>
    <w:multiLevelType w:val="hybridMultilevel"/>
    <w:tmpl w:val="782CB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2F3D8A"/>
    <w:multiLevelType w:val="hybridMultilevel"/>
    <w:tmpl w:val="F1920A56"/>
    <w:lvl w:ilvl="0" w:tplc="200A99A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AE2DDA"/>
    <w:multiLevelType w:val="hybridMultilevel"/>
    <w:tmpl w:val="5EE60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17DDB"/>
    <w:multiLevelType w:val="hybridMultilevel"/>
    <w:tmpl w:val="27E03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1490C"/>
    <w:multiLevelType w:val="multilevel"/>
    <w:tmpl w:val="104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D04C71"/>
    <w:multiLevelType w:val="hybridMultilevel"/>
    <w:tmpl w:val="9CA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B6D3C"/>
    <w:multiLevelType w:val="hybridMultilevel"/>
    <w:tmpl w:val="DC30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102832">
    <w:abstractNumId w:val="8"/>
  </w:num>
  <w:num w:numId="2" w16cid:durableId="590505270">
    <w:abstractNumId w:val="7"/>
  </w:num>
  <w:num w:numId="3" w16cid:durableId="333530061">
    <w:abstractNumId w:val="5"/>
  </w:num>
  <w:num w:numId="4" w16cid:durableId="1399745485">
    <w:abstractNumId w:val="6"/>
  </w:num>
  <w:num w:numId="5" w16cid:durableId="1515145747">
    <w:abstractNumId w:val="1"/>
  </w:num>
  <w:num w:numId="6" w16cid:durableId="391467548">
    <w:abstractNumId w:val="3"/>
  </w:num>
  <w:num w:numId="7" w16cid:durableId="104887408">
    <w:abstractNumId w:val="4"/>
  </w:num>
  <w:num w:numId="8" w16cid:durableId="1084188656">
    <w:abstractNumId w:val="2"/>
  </w:num>
  <w:num w:numId="9" w16cid:durableId="64555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fzrepwwrwftle0svnpftx3xr2sazvvdtw9&quot;&gt;WES library&lt;record-ids&gt;&lt;item&gt;1&lt;/item&gt;&lt;item&gt;3&lt;/item&gt;&lt;item&gt;5&lt;/item&gt;&lt;item&gt;6&lt;/item&gt;&lt;item&gt;12&lt;/item&gt;&lt;item&gt;13&lt;/item&gt;&lt;item&gt;17&lt;/item&gt;&lt;item&gt;164&lt;/item&gt;&lt;item&gt;203&lt;/item&gt;&lt;item&gt;204&lt;/item&gt;&lt;item&gt;207&lt;/item&gt;&lt;item&gt;208&lt;/item&gt;&lt;item&gt;209&lt;/item&gt;&lt;/record-ids&gt;&lt;/item&gt;&lt;/Libraries&gt;"/>
  </w:docVars>
  <w:rsids>
    <w:rsidRoot w:val="00C12958"/>
    <w:rsid w:val="000046B1"/>
    <w:rsid w:val="000078A8"/>
    <w:rsid w:val="00012D55"/>
    <w:rsid w:val="00027587"/>
    <w:rsid w:val="00052235"/>
    <w:rsid w:val="00056F0F"/>
    <w:rsid w:val="000607AC"/>
    <w:rsid w:val="0006538D"/>
    <w:rsid w:val="00071A0A"/>
    <w:rsid w:val="0007464D"/>
    <w:rsid w:val="00077199"/>
    <w:rsid w:val="0008343B"/>
    <w:rsid w:val="0008596F"/>
    <w:rsid w:val="00095273"/>
    <w:rsid w:val="000A2D7E"/>
    <w:rsid w:val="000B25A4"/>
    <w:rsid w:val="000D14D1"/>
    <w:rsid w:val="000D4998"/>
    <w:rsid w:val="001127AA"/>
    <w:rsid w:val="00116694"/>
    <w:rsid w:val="00121888"/>
    <w:rsid w:val="0012546B"/>
    <w:rsid w:val="00127241"/>
    <w:rsid w:val="001358CE"/>
    <w:rsid w:val="0015323A"/>
    <w:rsid w:val="00164200"/>
    <w:rsid w:val="00180B12"/>
    <w:rsid w:val="0018751A"/>
    <w:rsid w:val="00190E3C"/>
    <w:rsid w:val="001944C1"/>
    <w:rsid w:val="001A4BC1"/>
    <w:rsid w:val="001B0E5A"/>
    <w:rsid w:val="001E42D7"/>
    <w:rsid w:val="001E71C1"/>
    <w:rsid w:val="001F19A5"/>
    <w:rsid w:val="001F1CF2"/>
    <w:rsid w:val="00201986"/>
    <w:rsid w:val="00220CA1"/>
    <w:rsid w:val="0022196D"/>
    <w:rsid w:val="00247FE4"/>
    <w:rsid w:val="00263625"/>
    <w:rsid w:val="00263BC5"/>
    <w:rsid w:val="002677C5"/>
    <w:rsid w:val="00282514"/>
    <w:rsid w:val="002833DE"/>
    <w:rsid w:val="0029662D"/>
    <w:rsid w:val="00303922"/>
    <w:rsid w:val="0030536E"/>
    <w:rsid w:val="0031222E"/>
    <w:rsid w:val="00317D6D"/>
    <w:rsid w:val="00322A23"/>
    <w:rsid w:val="003244CC"/>
    <w:rsid w:val="00327901"/>
    <w:rsid w:val="003422C3"/>
    <w:rsid w:val="00345BC0"/>
    <w:rsid w:val="00365AF6"/>
    <w:rsid w:val="00376FF6"/>
    <w:rsid w:val="00386674"/>
    <w:rsid w:val="003903BD"/>
    <w:rsid w:val="00394882"/>
    <w:rsid w:val="003B03EE"/>
    <w:rsid w:val="003B3F9E"/>
    <w:rsid w:val="003B7601"/>
    <w:rsid w:val="003B7CDA"/>
    <w:rsid w:val="003C1E07"/>
    <w:rsid w:val="003C2DCC"/>
    <w:rsid w:val="003E1A0E"/>
    <w:rsid w:val="003E24D0"/>
    <w:rsid w:val="003F3CC4"/>
    <w:rsid w:val="004131F6"/>
    <w:rsid w:val="00417372"/>
    <w:rsid w:val="00421F2A"/>
    <w:rsid w:val="004304AB"/>
    <w:rsid w:val="0043052B"/>
    <w:rsid w:val="00441222"/>
    <w:rsid w:val="00450FCB"/>
    <w:rsid w:val="004525D8"/>
    <w:rsid w:val="004704F5"/>
    <w:rsid w:val="00471156"/>
    <w:rsid w:val="00476978"/>
    <w:rsid w:val="004771C4"/>
    <w:rsid w:val="00496393"/>
    <w:rsid w:val="004A3B1E"/>
    <w:rsid w:val="004B0D96"/>
    <w:rsid w:val="004C123F"/>
    <w:rsid w:val="004C41CF"/>
    <w:rsid w:val="004C4FC9"/>
    <w:rsid w:val="004D09E6"/>
    <w:rsid w:val="004D40E7"/>
    <w:rsid w:val="004E414A"/>
    <w:rsid w:val="004E624E"/>
    <w:rsid w:val="004F28B8"/>
    <w:rsid w:val="004F5445"/>
    <w:rsid w:val="004F54C8"/>
    <w:rsid w:val="004F6157"/>
    <w:rsid w:val="00526565"/>
    <w:rsid w:val="00545DC4"/>
    <w:rsid w:val="00551E97"/>
    <w:rsid w:val="005558FA"/>
    <w:rsid w:val="0056689B"/>
    <w:rsid w:val="00570EBF"/>
    <w:rsid w:val="00574FA6"/>
    <w:rsid w:val="00581A56"/>
    <w:rsid w:val="00583D3E"/>
    <w:rsid w:val="00585FA6"/>
    <w:rsid w:val="00587FB2"/>
    <w:rsid w:val="00590F88"/>
    <w:rsid w:val="00595CE0"/>
    <w:rsid w:val="005A662A"/>
    <w:rsid w:val="005A7C83"/>
    <w:rsid w:val="005B35F6"/>
    <w:rsid w:val="005B50BC"/>
    <w:rsid w:val="005B5432"/>
    <w:rsid w:val="005B54D3"/>
    <w:rsid w:val="005B6CDB"/>
    <w:rsid w:val="005B7282"/>
    <w:rsid w:val="005C097A"/>
    <w:rsid w:val="005D2414"/>
    <w:rsid w:val="005E02B3"/>
    <w:rsid w:val="005E709F"/>
    <w:rsid w:val="005F3F25"/>
    <w:rsid w:val="00601140"/>
    <w:rsid w:val="00611691"/>
    <w:rsid w:val="006224F0"/>
    <w:rsid w:val="00624271"/>
    <w:rsid w:val="00624C96"/>
    <w:rsid w:val="00653A0A"/>
    <w:rsid w:val="00665B16"/>
    <w:rsid w:val="00666647"/>
    <w:rsid w:val="00666C14"/>
    <w:rsid w:val="006712DA"/>
    <w:rsid w:val="00680533"/>
    <w:rsid w:val="0068651F"/>
    <w:rsid w:val="0068704A"/>
    <w:rsid w:val="00690E71"/>
    <w:rsid w:val="00695DB0"/>
    <w:rsid w:val="006B0084"/>
    <w:rsid w:val="006B3350"/>
    <w:rsid w:val="006C1D8E"/>
    <w:rsid w:val="006D297B"/>
    <w:rsid w:val="006E17B2"/>
    <w:rsid w:val="00707D03"/>
    <w:rsid w:val="00710C31"/>
    <w:rsid w:val="00730E0C"/>
    <w:rsid w:val="007322FA"/>
    <w:rsid w:val="00732A5F"/>
    <w:rsid w:val="00733830"/>
    <w:rsid w:val="00735947"/>
    <w:rsid w:val="00737659"/>
    <w:rsid w:val="007473E0"/>
    <w:rsid w:val="00760EE5"/>
    <w:rsid w:val="00761941"/>
    <w:rsid w:val="00761AB9"/>
    <w:rsid w:val="00776D1E"/>
    <w:rsid w:val="007A11D6"/>
    <w:rsid w:val="007A1B3C"/>
    <w:rsid w:val="007A3B9B"/>
    <w:rsid w:val="007A6E9E"/>
    <w:rsid w:val="007C4872"/>
    <w:rsid w:val="007D32BE"/>
    <w:rsid w:val="007D74C3"/>
    <w:rsid w:val="007F02A2"/>
    <w:rsid w:val="007F5BDF"/>
    <w:rsid w:val="00803B36"/>
    <w:rsid w:val="00813271"/>
    <w:rsid w:val="00840066"/>
    <w:rsid w:val="00845678"/>
    <w:rsid w:val="00855786"/>
    <w:rsid w:val="008575D9"/>
    <w:rsid w:val="008616BC"/>
    <w:rsid w:val="0086799C"/>
    <w:rsid w:val="0088433D"/>
    <w:rsid w:val="008856BE"/>
    <w:rsid w:val="00890933"/>
    <w:rsid w:val="00895937"/>
    <w:rsid w:val="008A6246"/>
    <w:rsid w:val="008B2A3E"/>
    <w:rsid w:val="008C206B"/>
    <w:rsid w:val="008D7804"/>
    <w:rsid w:val="008D7DE2"/>
    <w:rsid w:val="008F66D8"/>
    <w:rsid w:val="0091408B"/>
    <w:rsid w:val="00916D23"/>
    <w:rsid w:val="009202CF"/>
    <w:rsid w:val="00921E3E"/>
    <w:rsid w:val="009267B8"/>
    <w:rsid w:val="009360A2"/>
    <w:rsid w:val="009526FD"/>
    <w:rsid w:val="00955AEE"/>
    <w:rsid w:val="00956B59"/>
    <w:rsid w:val="00957DA0"/>
    <w:rsid w:val="00975EF1"/>
    <w:rsid w:val="009841B1"/>
    <w:rsid w:val="009959AA"/>
    <w:rsid w:val="009A0502"/>
    <w:rsid w:val="009A2069"/>
    <w:rsid w:val="009C3C8D"/>
    <w:rsid w:val="009D0B43"/>
    <w:rsid w:val="009E7C69"/>
    <w:rsid w:val="00A0215A"/>
    <w:rsid w:val="00A03A6F"/>
    <w:rsid w:val="00A152D6"/>
    <w:rsid w:val="00A21C34"/>
    <w:rsid w:val="00A25B15"/>
    <w:rsid w:val="00A27D1F"/>
    <w:rsid w:val="00A27DBA"/>
    <w:rsid w:val="00A31AA1"/>
    <w:rsid w:val="00A351D4"/>
    <w:rsid w:val="00A35320"/>
    <w:rsid w:val="00A3717F"/>
    <w:rsid w:val="00A37B17"/>
    <w:rsid w:val="00A60AE7"/>
    <w:rsid w:val="00A60D99"/>
    <w:rsid w:val="00A61400"/>
    <w:rsid w:val="00A64ACD"/>
    <w:rsid w:val="00A71E2C"/>
    <w:rsid w:val="00A824B2"/>
    <w:rsid w:val="00A91684"/>
    <w:rsid w:val="00A97FC8"/>
    <w:rsid w:val="00AA3FED"/>
    <w:rsid w:val="00AB014F"/>
    <w:rsid w:val="00AB57B2"/>
    <w:rsid w:val="00AB7F04"/>
    <w:rsid w:val="00AC4262"/>
    <w:rsid w:val="00AC6C53"/>
    <w:rsid w:val="00AD112B"/>
    <w:rsid w:val="00AD1FBB"/>
    <w:rsid w:val="00AD2DAF"/>
    <w:rsid w:val="00AF1734"/>
    <w:rsid w:val="00B205E2"/>
    <w:rsid w:val="00B24D47"/>
    <w:rsid w:val="00B334EC"/>
    <w:rsid w:val="00B3422E"/>
    <w:rsid w:val="00B34B73"/>
    <w:rsid w:val="00B50033"/>
    <w:rsid w:val="00B50D9E"/>
    <w:rsid w:val="00B52AD7"/>
    <w:rsid w:val="00B63FB4"/>
    <w:rsid w:val="00B672F2"/>
    <w:rsid w:val="00B80998"/>
    <w:rsid w:val="00B84AF5"/>
    <w:rsid w:val="00B86A94"/>
    <w:rsid w:val="00B86AB9"/>
    <w:rsid w:val="00B90208"/>
    <w:rsid w:val="00B92C10"/>
    <w:rsid w:val="00B93332"/>
    <w:rsid w:val="00B9654A"/>
    <w:rsid w:val="00BC722B"/>
    <w:rsid w:val="00BC74F5"/>
    <w:rsid w:val="00BD1C42"/>
    <w:rsid w:val="00BD2A15"/>
    <w:rsid w:val="00BE19D5"/>
    <w:rsid w:val="00BF4358"/>
    <w:rsid w:val="00C100C3"/>
    <w:rsid w:val="00C12958"/>
    <w:rsid w:val="00C130FD"/>
    <w:rsid w:val="00C26F2A"/>
    <w:rsid w:val="00C45411"/>
    <w:rsid w:val="00C765C5"/>
    <w:rsid w:val="00C77808"/>
    <w:rsid w:val="00C9189C"/>
    <w:rsid w:val="00C956C6"/>
    <w:rsid w:val="00C96978"/>
    <w:rsid w:val="00CA2C4A"/>
    <w:rsid w:val="00CA3B7C"/>
    <w:rsid w:val="00CB01B8"/>
    <w:rsid w:val="00CB21AF"/>
    <w:rsid w:val="00CB3621"/>
    <w:rsid w:val="00CB46FF"/>
    <w:rsid w:val="00CD1868"/>
    <w:rsid w:val="00CD3733"/>
    <w:rsid w:val="00CD6FE0"/>
    <w:rsid w:val="00CD7895"/>
    <w:rsid w:val="00CF021A"/>
    <w:rsid w:val="00D1023C"/>
    <w:rsid w:val="00D124EF"/>
    <w:rsid w:val="00D15EF8"/>
    <w:rsid w:val="00D20E3E"/>
    <w:rsid w:val="00D252DE"/>
    <w:rsid w:val="00D313DA"/>
    <w:rsid w:val="00D3569E"/>
    <w:rsid w:val="00D35DC6"/>
    <w:rsid w:val="00D368FC"/>
    <w:rsid w:val="00D37414"/>
    <w:rsid w:val="00D402DB"/>
    <w:rsid w:val="00D459D5"/>
    <w:rsid w:val="00D4638F"/>
    <w:rsid w:val="00D759E4"/>
    <w:rsid w:val="00D80665"/>
    <w:rsid w:val="00D8424E"/>
    <w:rsid w:val="00D86849"/>
    <w:rsid w:val="00DB5CFB"/>
    <w:rsid w:val="00DB7407"/>
    <w:rsid w:val="00DC2913"/>
    <w:rsid w:val="00DE3022"/>
    <w:rsid w:val="00DE4FB8"/>
    <w:rsid w:val="00DF2827"/>
    <w:rsid w:val="00DF5ACE"/>
    <w:rsid w:val="00E02BB4"/>
    <w:rsid w:val="00E04999"/>
    <w:rsid w:val="00E04B07"/>
    <w:rsid w:val="00E05D6E"/>
    <w:rsid w:val="00E100AF"/>
    <w:rsid w:val="00E12135"/>
    <w:rsid w:val="00E12EB0"/>
    <w:rsid w:val="00E16D9E"/>
    <w:rsid w:val="00E32C21"/>
    <w:rsid w:val="00E34F40"/>
    <w:rsid w:val="00E519ED"/>
    <w:rsid w:val="00E605D1"/>
    <w:rsid w:val="00E71681"/>
    <w:rsid w:val="00E75351"/>
    <w:rsid w:val="00E77051"/>
    <w:rsid w:val="00E83992"/>
    <w:rsid w:val="00E90302"/>
    <w:rsid w:val="00E9532F"/>
    <w:rsid w:val="00E95C74"/>
    <w:rsid w:val="00EB1195"/>
    <w:rsid w:val="00EC08FD"/>
    <w:rsid w:val="00EC67FE"/>
    <w:rsid w:val="00ED0678"/>
    <w:rsid w:val="00ED1F0B"/>
    <w:rsid w:val="00ED3147"/>
    <w:rsid w:val="00ED4E57"/>
    <w:rsid w:val="00ED61BC"/>
    <w:rsid w:val="00EF005F"/>
    <w:rsid w:val="00EF3A10"/>
    <w:rsid w:val="00F016F2"/>
    <w:rsid w:val="00F01C5B"/>
    <w:rsid w:val="00F05155"/>
    <w:rsid w:val="00F05C7C"/>
    <w:rsid w:val="00F244FE"/>
    <w:rsid w:val="00F25900"/>
    <w:rsid w:val="00F3201B"/>
    <w:rsid w:val="00F34399"/>
    <w:rsid w:val="00F412A3"/>
    <w:rsid w:val="00F41E71"/>
    <w:rsid w:val="00F4332A"/>
    <w:rsid w:val="00F45588"/>
    <w:rsid w:val="00F46224"/>
    <w:rsid w:val="00F500DD"/>
    <w:rsid w:val="00F54551"/>
    <w:rsid w:val="00F63DF3"/>
    <w:rsid w:val="00F65CFE"/>
    <w:rsid w:val="00F70CC5"/>
    <w:rsid w:val="00F75CFD"/>
    <w:rsid w:val="00F91BEA"/>
    <w:rsid w:val="00FA23EA"/>
    <w:rsid w:val="00FB68A2"/>
    <w:rsid w:val="00FC03FD"/>
    <w:rsid w:val="00FD3E10"/>
    <w:rsid w:val="00FD4C79"/>
    <w:rsid w:val="00FD6D47"/>
    <w:rsid w:val="2556A12F"/>
    <w:rsid w:val="48D5E4B7"/>
    <w:rsid w:val="7F162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FC56"/>
  <w15:chartTrackingRefBased/>
  <w15:docId w15:val="{BC0706D2-97BA-B24A-B5BE-EA7A8D8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2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2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2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2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2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958"/>
    <w:rPr>
      <w:rFonts w:eastAsiaTheme="majorEastAsia" w:cstheme="majorBidi"/>
      <w:color w:val="272727" w:themeColor="text1" w:themeTint="D8"/>
    </w:rPr>
  </w:style>
  <w:style w:type="paragraph" w:styleId="Title">
    <w:name w:val="Title"/>
    <w:basedOn w:val="Normal"/>
    <w:next w:val="Normal"/>
    <w:link w:val="TitleChar"/>
    <w:uiPriority w:val="10"/>
    <w:qFormat/>
    <w:rsid w:val="00C129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2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9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9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2958"/>
    <w:rPr>
      <w:i/>
      <w:iCs/>
      <w:color w:val="404040" w:themeColor="text1" w:themeTint="BF"/>
    </w:rPr>
  </w:style>
  <w:style w:type="paragraph" w:styleId="ListParagraph">
    <w:name w:val="List Paragraph"/>
    <w:basedOn w:val="Normal"/>
    <w:uiPriority w:val="34"/>
    <w:qFormat/>
    <w:rsid w:val="00C12958"/>
    <w:pPr>
      <w:ind w:left="720"/>
      <w:contextualSpacing/>
    </w:pPr>
  </w:style>
  <w:style w:type="character" w:styleId="IntenseEmphasis">
    <w:name w:val="Intense Emphasis"/>
    <w:basedOn w:val="DefaultParagraphFont"/>
    <w:uiPriority w:val="21"/>
    <w:qFormat/>
    <w:rsid w:val="00C12958"/>
    <w:rPr>
      <w:i/>
      <w:iCs/>
      <w:color w:val="0F4761" w:themeColor="accent1" w:themeShade="BF"/>
    </w:rPr>
  </w:style>
  <w:style w:type="paragraph" w:styleId="IntenseQuote">
    <w:name w:val="Intense Quote"/>
    <w:basedOn w:val="Normal"/>
    <w:next w:val="Normal"/>
    <w:link w:val="IntenseQuoteChar"/>
    <w:uiPriority w:val="30"/>
    <w:qFormat/>
    <w:rsid w:val="00C12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958"/>
    <w:rPr>
      <w:i/>
      <w:iCs/>
      <w:color w:val="0F4761" w:themeColor="accent1" w:themeShade="BF"/>
    </w:rPr>
  </w:style>
  <w:style w:type="character" w:styleId="IntenseReference">
    <w:name w:val="Intense Reference"/>
    <w:basedOn w:val="DefaultParagraphFont"/>
    <w:uiPriority w:val="32"/>
    <w:qFormat/>
    <w:rsid w:val="00C12958"/>
    <w:rPr>
      <w:b/>
      <w:bCs/>
      <w:smallCaps/>
      <w:color w:val="0F4761" w:themeColor="accent1" w:themeShade="BF"/>
      <w:spacing w:val="5"/>
    </w:rPr>
  </w:style>
  <w:style w:type="paragraph" w:styleId="NoSpacing">
    <w:name w:val="No Spacing"/>
    <w:link w:val="NoSpacingChar"/>
    <w:uiPriority w:val="1"/>
    <w:qFormat/>
    <w:rsid w:val="00E12135"/>
    <w:rPr>
      <w:kern w:val="0"/>
      <w:sz w:val="22"/>
      <w:szCs w:val="22"/>
      <w14:ligatures w14:val="none"/>
    </w:rPr>
  </w:style>
  <w:style w:type="character" w:customStyle="1" w:styleId="NoSpacingChar">
    <w:name w:val="No Spacing Char"/>
    <w:basedOn w:val="DefaultParagraphFont"/>
    <w:link w:val="NoSpacing"/>
    <w:uiPriority w:val="1"/>
    <w:rsid w:val="00E12135"/>
    <w:rPr>
      <w:kern w:val="0"/>
      <w:sz w:val="22"/>
      <w:szCs w:val="22"/>
      <w14:ligatures w14:val="none"/>
    </w:rPr>
  </w:style>
  <w:style w:type="paragraph" w:styleId="Footer">
    <w:name w:val="footer"/>
    <w:basedOn w:val="Normal"/>
    <w:link w:val="FooterChar"/>
    <w:uiPriority w:val="99"/>
    <w:unhideWhenUsed/>
    <w:rsid w:val="00A31AA1"/>
    <w:pPr>
      <w:tabs>
        <w:tab w:val="center" w:pos="4680"/>
        <w:tab w:val="right" w:pos="9360"/>
      </w:tabs>
    </w:pPr>
  </w:style>
  <w:style w:type="character" w:customStyle="1" w:styleId="FooterChar">
    <w:name w:val="Footer Char"/>
    <w:basedOn w:val="DefaultParagraphFont"/>
    <w:link w:val="Footer"/>
    <w:uiPriority w:val="99"/>
    <w:rsid w:val="00A31AA1"/>
  </w:style>
  <w:style w:type="character" w:styleId="PageNumber">
    <w:name w:val="page number"/>
    <w:basedOn w:val="DefaultParagraphFont"/>
    <w:uiPriority w:val="99"/>
    <w:semiHidden/>
    <w:unhideWhenUsed/>
    <w:rsid w:val="00A31AA1"/>
  </w:style>
  <w:style w:type="paragraph" w:styleId="Header">
    <w:name w:val="header"/>
    <w:basedOn w:val="Normal"/>
    <w:link w:val="HeaderChar"/>
    <w:uiPriority w:val="99"/>
    <w:semiHidden/>
    <w:unhideWhenUsed/>
    <w:rsid w:val="00624271"/>
    <w:pPr>
      <w:tabs>
        <w:tab w:val="center" w:pos="4680"/>
        <w:tab w:val="right" w:pos="9360"/>
      </w:tabs>
    </w:pPr>
  </w:style>
  <w:style w:type="character" w:customStyle="1" w:styleId="HeaderChar">
    <w:name w:val="Header Char"/>
    <w:basedOn w:val="DefaultParagraphFont"/>
    <w:link w:val="Header"/>
    <w:uiPriority w:val="99"/>
    <w:semiHidden/>
    <w:rsid w:val="00624271"/>
  </w:style>
  <w:style w:type="paragraph" w:customStyle="1" w:styleId="EndNoteBibliographyTitle">
    <w:name w:val="EndNote Bibliography Title"/>
    <w:basedOn w:val="Normal"/>
    <w:link w:val="EndNoteBibliographyTitleChar"/>
    <w:rsid w:val="00761AB9"/>
    <w:pPr>
      <w:jc w:val="center"/>
    </w:pPr>
    <w:rPr>
      <w:rFonts w:ascii="Aptos" w:hAnsi="Aptos"/>
    </w:rPr>
  </w:style>
  <w:style w:type="character" w:customStyle="1" w:styleId="EndNoteBibliographyTitleChar">
    <w:name w:val="EndNote Bibliography Title Char"/>
    <w:basedOn w:val="NoSpacingChar"/>
    <w:link w:val="EndNoteBibliographyTitle"/>
    <w:rsid w:val="00761AB9"/>
    <w:rPr>
      <w:rFonts w:ascii="Aptos" w:hAnsi="Aptos"/>
      <w:kern w:val="0"/>
      <w:sz w:val="22"/>
      <w:szCs w:val="22"/>
      <w14:ligatures w14:val="none"/>
    </w:rPr>
  </w:style>
  <w:style w:type="paragraph" w:customStyle="1" w:styleId="EndNoteBibliography">
    <w:name w:val="EndNote Bibliography"/>
    <w:basedOn w:val="Normal"/>
    <w:link w:val="EndNoteBibliographyChar"/>
    <w:rsid w:val="00761AB9"/>
    <w:rPr>
      <w:rFonts w:ascii="Aptos" w:hAnsi="Aptos"/>
    </w:rPr>
  </w:style>
  <w:style w:type="character" w:customStyle="1" w:styleId="EndNoteBibliographyChar">
    <w:name w:val="EndNote Bibliography Char"/>
    <w:basedOn w:val="NoSpacingChar"/>
    <w:link w:val="EndNoteBibliography"/>
    <w:rsid w:val="00761AB9"/>
    <w:rPr>
      <w:rFonts w:ascii="Aptos" w:hAnsi="Aptos"/>
      <w:kern w:val="0"/>
      <w:sz w:val="22"/>
      <w:szCs w:val="22"/>
      <w14:ligatures w14:val="none"/>
    </w:rPr>
  </w:style>
  <w:style w:type="character" w:styleId="CommentReference">
    <w:name w:val="annotation reference"/>
    <w:basedOn w:val="DefaultParagraphFont"/>
    <w:uiPriority w:val="99"/>
    <w:semiHidden/>
    <w:unhideWhenUsed/>
    <w:rsid w:val="00F01C5B"/>
    <w:rPr>
      <w:sz w:val="16"/>
      <w:szCs w:val="16"/>
    </w:rPr>
  </w:style>
  <w:style w:type="paragraph" w:styleId="CommentText">
    <w:name w:val="annotation text"/>
    <w:basedOn w:val="Normal"/>
    <w:link w:val="CommentTextChar"/>
    <w:uiPriority w:val="99"/>
    <w:unhideWhenUsed/>
    <w:rsid w:val="00F01C5B"/>
    <w:rPr>
      <w:sz w:val="20"/>
      <w:szCs w:val="20"/>
    </w:rPr>
  </w:style>
  <w:style w:type="character" w:customStyle="1" w:styleId="CommentTextChar">
    <w:name w:val="Comment Text Char"/>
    <w:basedOn w:val="DefaultParagraphFont"/>
    <w:link w:val="CommentText"/>
    <w:uiPriority w:val="99"/>
    <w:rsid w:val="00F01C5B"/>
    <w:rPr>
      <w:sz w:val="20"/>
      <w:szCs w:val="20"/>
    </w:rPr>
  </w:style>
  <w:style w:type="paragraph" w:styleId="CommentSubject">
    <w:name w:val="annotation subject"/>
    <w:basedOn w:val="CommentText"/>
    <w:next w:val="CommentText"/>
    <w:link w:val="CommentSubjectChar"/>
    <w:uiPriority w:val="99"/>
    <w:semiHidden/>
    <w:unhideWhenUsed/>
    <w:rsid w:val="00F01C5B"/>
    <w:rPr>
      <w:b/>
      <w:bCs/>
    </w:rPr>
  </w:style>
  <w:style w:type="character" w:customStyle="1" w:styleId="CommentSubjectChar">
    <w:name w:val="Comment Subject Char"/>
    <w:basedOn w:val="CommentTextChar"/>
    <w:link w:val="CommentSubject"/>
    <w:uiPriority w:val="99"/>
    <w:semiHidden/>
    <w:rsid w:val="00F01C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7987771-6e49-48c2-9190-090086b17895" xsi:nil="true"/>
    <lcf76f155ced4ddcb4097134ff3c332f xmlns="363f8f1f-aef1-4ca2-9f24-519bdcc99cb2">
      <Terms xmlns="http://schemas.microsoft.com/office/infopath/2007/PartnerControls"/>
    </lcf76f155ced4ddcb4097134ff3c332f>
    <SharedWithUsers xmlns="37987771-6e49-48c2-9190-090086b17895">
      <UserInfo>
        <DisplayName>Melanie Napier</DisplayName>
        <AccountId>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9EDAC5F0BB43449650A14753C331C5" ma:contentTypeVersion="13" ma:contentTypeDescription="Create a new document." ma:contentTypeScope="" ma:versionID="500cd6fcc8a55871dfb2146abd027da2">
  <xsd:schema xmlns:xsd="http://www.w3.org/2001/XMLSchema" xmlns:xs="http://www.w3.org/2001/XMLSchema" xmlns:p="http://schemas.microsoft.com/office/2006/metadata/properties" xmlns:ns2="37987771-6e49-48c2-9190-090086b17895" xmlns:ns3="363f8f1f-aef1-4ca2-9f24-519bdcc99cb2" targetNamespace="http://schemas.microsoft.com/office/2006/metadata/properties" ma:root="true" ma:fieldsID="9a4c541cca3edb280b8318d5aa8656b7" ns2:_="" ns3:_="">
    <xsd:import namespace="37987771-6e49-48c2-9190-090086b17895"/>
    <xsd:import namespace="363f8f1f-aef1-4ca2-9f24-519bdcc99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87771-6e49-48c2-9190-090086b178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b4629f9-57ee-4f59-a68d-237847009146}" ma:internalName="TaxCatchAll" ma:showField="CatchAllData" ma:web="37987771-6e49-48c2-9190-090086b17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3f8f1f-aef1-4ca2-9f24-519bdcc99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60ba2a-d0b9-48c3-a483-476cbff7f94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2A352-3713-4D53-8136-BCC46DD13E95}">
  <ds:schemaRefs>
    <ds:schemaRef ds:uri="http://schemas.microsoft.com/sharepoint/v3/contenttype/forms"/>
  </ds:schemaRefs>
</ds:datastoreItem>
</file>

<file path=customXml/itemProps2.xml><?xml version="1.0" encoding="utf-8"?>
<ds:datastoreItem xmlns:ds="http://schemas.openxmlformats.org/officeDocument/2006/customXml" ds:itemID="{4A829747-E544-4FFA-828A-F42F02189B76}">
  <ds:schemaRefs>
    <ds:schemaRef ds:uri="http://schemas.microsoft.com/office/2006/metadata/properties"/>
    <ds:schemaRef ds:uri="http://schemas.microsoft.com/office/infopath/2007/PartnerControls"/>
    <ds:schemaRef ds:uri="37987771-6e49-48c2-9190-090086b17895"/>
    <ds:schemaRef ds:uri="363f8f1f-aef1-4ca2-9f24-519bdcc99cb2"/>
  </ds:schemaRefs>
</ds:datastoreItem>
</file>

<file path=customXml/itemProps3.xml><?xml version="1.0" encoding="utf-8"?>
<ds:datastoreItem xmlns:ds="http://schemas.openxmlformats.org/officeDocument/2006/customXml" ds:itemID="{50E50D94-8256-49F3-A73F-3BFCFEDD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87771-6e49-48c2-9190-090086b17895"/>
    <ds:schemaRef ds:uri="363f8f1f-aef1-4ca2-9f24-519bdcc99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Soto</dc:creator>
  <cp:keywords/>
  <dc:description/>
  <cp:lastModifiedBy>Kelen Tuttle</cp:lastModifiedBy>
  <cp:revision>111</cp:revision>
  <dcterms:created xsi:type="dcterms:W3CDTF">2024-04-22T15:07:00Z</dcterms:created>
  <dcterms:modified xsi:type="dcterms:W3CDTF">2024-09-06T23:18:00Z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0x010100709EDAC5F0BB43449650A14753C331C5</vt:lpwstr>
  </property>
  <property fmtid="{D5CDD505-2E9C-101B-9397-08002B2CF9AE}" pid="3" name="MediaServiceImageTags">
    <vt:lpwstr/>
  </property>
</Properties>
</file>